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53" w:rsidRPr="00A96553" w:rsidRDefault="00A96553" w:rsidP="00A96553">
      <w:pPr>
        <w:shd w:val="clear" w:color="auto" w:fill="FFFFFF"/>
        <w:spacing w:after="0" w:line="240" w:lineRule="auto"/>
        <w:ind w:right="555"/>
        <w:jc w:val="center"/>
        <w:outlineLvl w:val="2"/>
        <w:rPr>
          <w:rFonts w:ascii="Verdana" w:eastAsia="Times New Roman" w:hAnsi="Verdana" w:cs="Arial"/>
          <w:b/>
          <w:sz w:val="24"/>
          <w:szCs w:val="24"/>
          <w:lang w:eastAsia="nb-NO"/>
        </w:rPr>
      </w:pPr>
      <w:r w:rsidRPr="00A96553">
        <w:rPr>
          <w:rFonts w:ascii="Verdana" w:eastAsia="Times New Roman" w:hAnsi="Verdana" w:cs="Arial"/>
          <w:b/>
          <w:sz w:val="24"/>
          <w:szCs w:val="24"/>
          <w:lang w:eastAsia="nb-NO"/>
        </w:rPr>
        <w:t>OMTALE AV E-16 I STATSBUDSJETTET FOR 2015</w:t>
      </w:r>
    </w:p>
    <w:p w:rsidR="0064298C" w:rsidRPr="0064298C" w:rsidRDefault="00A96553" w:rsidP="0064298C">
      <w:pPr>
        <w:shd w:val="clear" w:color="auto" w:fill="FFFFFF"/>
        <w:spacing w:after="0" w:line="240" w:lineRule="auto"/>
        <w:ind w:right="555"/>
        <w:outlineLvl w:val="2"/>
        <w:rPr>
          <w:rFonts w:ascii="Verdana" w:eastAsia="Times New Roman" w:hAnsi="Verdana" w:cs="Arial"/>
          <w:b/>
          <w:sz w:val="21"/>
          <w:szCs w:val="21"/>
          <w:lang w:eastAsia="nb-NO"/>
        </w:rPr>
      </w:pPr>
      <w:r>
        <w:rPr>
          <w:rFonts w:ascii="Verdana" w:eastAsia="Times New Roman" w:hAnsi="Verdana" w:cs="Arial"/>
          <w:b/>
          <w:sz w:val="21"/>
          <w:lang w:eastAsia="nb-NO"/>
        </w:rPr>
        <w:br/>
      </w:r>
      <w:r w:rsidR="0064298C" w:rsidRPr="0064298C">
        <w:rPr>
          <w:rFonts w:ascii="Verdana" w:eastAsia="Times New Roman" w:hAnsi="Verdana" w:cs="Arial"/>
          <w:b/>
          <w:sz w:val="21"/>
          <w:lang w:eastAsia="nb-NO"/>
        </w:rPr>
        <w:t>E16 Sandvika – Bergen med tilknytninger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Samferdselsdepartementet foreslår en statlig ramme på 576,8 mill. kr over post 30 for 2015. I tillegg er det forutsatt 379 mill. kr i bompenger.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Innenfor denne rammen prioriteres midler til restfinansiering for prosjektet E16 Fønhus – Bagn i Oppland. I tillegg er det foreslått å videreføre utbyggingen med statlige midler til forberedende arbeider og anleggsstart i 2015 på strekningen Bagn – Bjørgo på E16. Regjeringen tar sikte på at forslag om delvis bompengefinansiering av prosjektet blir lagt fram for Stortinget i 2015. Prioriteringen er betinget av Stortingets tilslutning til et opplegg for delvis bompengefinansiering av prosjektet.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Innenfor Oslopakke 3 prioriteres midler til å starte utbyggingen av E16 Sandvika –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Wøyen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i Akershus.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På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rv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5 prioriteres midler til å videreføre utbyggingen av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rv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5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Loftesnes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bru i Sogn og Fjordane. 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Innenfor programområdene prioriteres utbedringstiltak, tilrettelegging for gående og syklende og trafikksikkerhetstiltak. 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Under fornying settes det av midler til å starte utbedringen av E16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Gudvangatunnelen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i Sogn og Fjordane. Det settes også av midler til planlegging bl.a. av prosjektene E16 Fagernes – Hande, E16 Skaret – Hønefoss, samt E16 Voss – Arna. Videre settes det av midler til grunnerverv.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Samferdselsdepartementet foreslår en statlig ramme på 48,0 mill. kr over post 31 for 2015. Midlene vil i all hovedsak gå til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delfinansiering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av prosjektet E16 Fønhus – Bagn i Oppland.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Samferdselsdepartementet foreslår en statlig ramme på 500,9 mill. kr over post 36 E16 over Filefjell for 2015. Innenfor denne rammen prioriteres midler til å starte utbyggingen av strekningen Øye –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Eidsbru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. Det prioriteres også midler til å videreføre utbyggingen av strekningen Varpe bru –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Otrøosen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–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Smedalsosen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, og restfinansiering for strekningene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Eidsbru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– Varpe bru og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Smedalsosen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– Maristova – Borlaug.</w:t>
      </w:r>
      <w:r>
        <w:rPr>
          <w:rFonts w:ascii="Verdana" w:eastAsia="Times New Roman" w:hAnsi="Verdana" w:cs="Arial"/>
          <w:sz w:val="17"/>
          <w:szCs w:val="17"/>
          <w:lang w:eastAsia="nb-NO"/>
        </w:rPr>
        <w:br/>
      </w:r>
      <w:r>
        <w:rPr>
          <w:rFonts w:ascii="Verdana" w:eastAsia="Times New Roman" w:hAnsi="Verdana" w:cs="Arial"/>
          <w:sz w:val="17"/>
          <w:szCs w:val="17"/>
          <w:lang w:eastAsia="nb-NO"/>
        </w:rPr>
        <w:tab/>
      </w:r>
      <w:r>
        <w:rPr>
          <w:rFonts w:ascii="Verdana" w:eastAsia="Times New Roman" w:hAnsi="Verdana" w:cs="Arial"/>
          <w:sz w:val="17"/>
          <w:szCs w:val="17"/>
          <w:lang w:eastAsia="nb-NO"/>
        </w:rPr>
        <w:tab/>
      </w:r>
      <w:r>
        <w:rPr>
          <w:rFonts w:ascii="Verdana" w:eastAsia="Times New Roman" w:hAnsi="Verdana" w:cs="Arial"/>
          <w:sz w:val="17"/>
          <w:szCs w:val="17"/>
          <w:lang w:eastAsia="nb-NO"/>
        </w:rPr>
        <w:tab/>
      </w:r>
      <w:r>
        <w:rPr>
          <w:rFonts w:ascii="Verdana" w:eastAsia="Times New Roman" w:hAnsi="Verdana" w:cs="Arial"/>
          <w:sz w:val="17"/>
          <w:szCs w:val="17"/>
          <w:lang w:eastAsia="nb-NO"/>
        </w:rPr>
        <w:tab/>
      </w:r>
      <w:r>
        <w:rPr>
          <w:rFonts w:ascii="Verdana" w:eastAsia="Times New Roman" w:hAnsi="Verdana" w:cs="Arial"/>
          <w:sz w:val="17"/>
          <w:szCs w:val="17"/>
          <w:lang w:eastAsia="nb-NO"/>
        </w:rPr>
        <w:tab/>
      </w:r>
      <w:r>
        <w:rPr>
          <w:rFonts w:ascii="Verdana" w:eastAsia="Times New Roman" w:hAnsi="Verdana" w:cs="Arial"/>
          <w:sz w:val="17"/>
          <w:szCs w:val="17"/>
          <w:lang w:eastAsia="nb-NO"/>
        </w:rPr>
        <w:tab/>
      </w:r>
      <w:r>
        <w:rPr>
          <w:rFonts w:ascii="Verdana" w:eastAsia="Times New Roman" w:hAnsi="Verdana" w:cs="Arial"/>
          <w:sz w:val="17"/>
          <w:szCs w:val="17"/>
          <w:lang w:eastAsia="nb-NO"/>
        </w:rPr>
        <w:tab/>
      </w:r>
      <w:r>
        <w:rPr>
          <w:rFonts w:ascii="Verdana" w:eastAsia="Times New Roman" w:hAnsi="Verdana" w:cs="Arial"/>
          <w:sz w:val="17"/>
          <w:szCs w:val="17"/>
          <w:lang w:eastAsia="nb-NO"/>
        </w:rPr>
        <w:tab/>
      </w:r>
      <w:r>
        <w:rPr>
          <w:rFonts w:ascii="Verdana" w:eastAsia="Times New Roman" w:hAnsi="Verdana" w:cs="Arial"/>
          <w:sz w:val="17"/>
          <w:szCs w:val="17"/>
          <w:lang w:eastAsia="nb-NO"/>
        </w:rPr>
        <w:tab/>
      </w:r>
      <w:r>
        <w:rPr>
          <w:rFonts w:ascii="Verdana" w:eastAsia="Times New Roman" w:hAnsi="Verdana" w:cs="Arial"/>
          <w:sz w:val="17"/>
          <w:szCs w:val="17"/>
          <w:lang w:eastAsia="nb-NO"/>
        </w:rPr>
        <w:tab/>
        <w:t xml:space="preserve">          (i mill. 2015-kr)</w:t>
      </w:r>
    </w:p>
    <w:tbl>
      <w:tblPr>
        <w:tblW w:w="9606" w:type="dxa"/>
        <w:tblCellSpacing w:w="15" w:type="dxa"/>
        <w:tblBorders>
          <w:top w:val="single" w:sz="6" w:space="0" w:color="CCDDEE"/>
          <w:left w:val="single" w:sz="6" w:space="0" w:color="CCDDEE"/>
          <w:bottom w:val="single" w:sz="6" w:space="0" w:color="CCDDEE"/>
          <w:right w:val="single" w:sz="6" w:space="0" w:color="CCDDEE"/>
        </w:tblBorders>
        <w:tblCellMar>
          <w:left w:w="0" w:type="dxa"/>
          <w:right w:w="0" w:type="dxa"/>
        </w:tblCellMar>
        <w:tblLook w:val="04A0"/>
      </w:tblPr>
      <w:tblGrid>
        <w:gridCol w:w="524"/>
        <w:gridCol w:w="2863"/>
        <w:gridCol w:w="1235"/>
        <w:gridCol w:w="1679"/>
        <w:gridCol w:w="1932"/>
        <w:gridCol w:w="1373"/>
      </w:tblGrid>
      <w:tr w:rsidR="0064298C" w:rsidRPr="0064298C" w:rsidTr="0064298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</w:p>
        </w:tc>
        <w:tc>
          <w:tcPr>
            <w:tcW w:w="28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</w:p>
        </w:tc>
        <w:tc>
          <w:tcPr>
            <w:tcW w:w="1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proofErr w:type="spellStart"/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Kostnads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-</w:t>
            </w: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ramme</w:t>
            </w:r>
            <w:proofErr w:type="spellEnd"/>
          </w:p>
        </w:tc>
        <w:tc>
          <w:tcPr>
            <w:tcW w:w="16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 xml:space="preserve">Prognose for sluttkostnad </w:t>
            </w:r>
          </w:p>
        </w:tc>
        <w:tc>
          <w:tcPr>
            <w:tcW w:w="19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Statsmidler og annen finansiering i 2015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 xml:space="preserve">Restbehov </w:t>
            </w:r>
          </w:p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 xml:space="preserve">pr. </w:t>
            </w:r>
            <w:proofErr w:type="gramStart"/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01.01.2016</w:t>
            </w:r>
            <w:proofErr w:type="gramEnd"/>
          </w:p>
        </w:tc>
      </w:tr>
      <w:tr w:rsidR="0064298C" w:rsidRPr="0064298C" w:rsidTr="0064298C">
        <w:trPr>
          <w:tblCellSpacing w:w="15" w:type="dxa"/>
        </w:trPr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E16</w:t>
            </w:r>
          </w:p>
        </w:tc>
        <w:tc>
          <w:tcPr>
            <w:tcW w:w="2833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 xml:space="preserve">Sandvika – </w:t>
            </w:r>
            <w:proofErr w:type="spellStart"/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Wøyen</w:t>
            </w:r>
            <w:proofErr w:type="spellEnd"/>
          </w:p>
        </w:tc>
        <w:tc>
          <w:tcPr>
            <w:tcW w:w="1205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4 197</w:t>
            </w:r>
          </w:p>
        </w:tc>
        <w:tc>
          <w:tcPr>
            <w:tcW w:w="1649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3 836</w:t>
            </w:r>
          </w:p>
        </w:tc>
        <w:tc>
          <w:tcPr>
            <w:tcW w:w="1902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510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3 106</w:t>
            </w:r>
          </w:p>
        </w:tc>
      </w:tr>
      <w:tr w:rsidR="0064298C" w:rsidRPr="0064298C" w:rsidTr="0064298C">
        <w:trPr>
          <w:tblCellSpacing w:w="15" w:type="dxa"/>
        </w:trPr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E16</w:t>
            </w:r>
          </w:p>
        </w:tc>
        <w:tc>
          <w:tcPr>
            <w:tcW w:w="2833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Fønhus – Bagn inkl. skredsikring</w:t>
            </w:r>
          </w:p>
        </w:tc>
        <w:tc>
          <w:tcPr>
            <w:tcW w:w="1205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573</w:t>
            </w:r>
          </w:p>
        </w:tc>
        <w:tc>
          <w:tcPr>
            <w:tcW w:w="1649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521</w:t>
            </w:r>
          </w:p>
        </w:tc>
        <w:tc>
          <w:tcPr>
            <w:tcW w:w="1902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97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0</w:t>
            </w:r>
          </w:p>
        </w:tc>
      </w:tr>
      <w:tr w:rsidR="0064298C" w:rsidRPr="0064298C" w:rsidTr="0064298C">
        <w:trPr>
          <w:tblCellSpacing w:w="15" w:type="dxa"/>
        </w:trPr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E16</w:t>
            </w:r>
          </w:p>
        </w:tc>
        <w:tc>
          <w:tcPr>
            <w:tcW w:w="2833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 xml:space="preserve">Bagn – Bjørgo </w:t>
            </w:r>
            <w:r w:rsidRPr="0064298C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nb-NO"/>
              </w:rPr>
              <w:t>1</w:t>
            </w:r>
          </w:p>
        </w:tc>
        <w:tc>
          <w:tcPr>
            <w:tcW w:w="1205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1 530</w:t>
            </w:r>
          </w:p>
        </w:tc>
        <w:tc>
          <w:tcPr>
            <w:tcW w:w="1649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1 390</w:t>
            </w:r>
          </w:p>
        </w:tc>
        <w:tc>
          <w:tcPr>
            <w:tcW w:w="1902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160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1 190</w:t>
            </w:r>
          </w:p>
        </w:tc>
      </w:tr>
      <w:tr w:rsidR="0064298C" w:rsidRPr="0064298C" w:rsidTr="0064298C">
        <w:trPr>
          <w:tblCellSpacing w:w="15" w:type="dxa"/>
        </w:trPr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E16</w:t>
            </w:r>
          </w:p>
        </w:tc>
        <w:tc>
          <w:tcPr>
            <w:tcW w:w="2833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 xml:space="preserve">Øye – </w:t>
            </w:r>
            <w:proofErr w:type="spellStart"/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Eidsbru</w:t>
            </w:r>
            <w:proofErr w:type="spellEnd"/>
          </w:p>
        </w:tc>
        <w:tc>
          <w:tcPr>
            <w:tcW w:w="1205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741</w:t>
            </w:r>
          </w:p>
        </w:tc>
        <w:tc>
          <w:tcPr>
            <w:tcW w:w="1649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674</w:t>
            </w:r>
          </w:p>
        </w:tc>
        <w:tc>
          <w:tcPr>
            <w:tcW w:w="1902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55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618</w:t>
            </w:r>
          </w:p>
        </w:tc>
      </w:tr>
      <w:tr w:rsidR="0064298C" w:rsidRPr="0064298C" w:rsidTr="0064298C">
        <w:trPr>
          <w:tblCellSpacing w:w="15" w:type="dxa"/>
        </w:trPr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E16</w:t>
            </w:r>
          </w:p>
        </w:tc>
        <w:tc>
          <w:tcPr>
            <w:tcW w:w="2833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 xml:space="preserve">Varpe bru – </w:t>
            </w:r>
            <w:proofErr w:type="spellStart"/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Otrøosen</w:t>
            </w:r>
            <w:proofErr w:type="spellEnd"/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 xml:space="preserve"> – </w:t>
            </w:r>
            <w:proofErr w:type="spellStart"/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Smedalsosen</w:t>
            </w:r>
            <w:proofErr w:type="spellEnd"/>
          </w:p>
        </w:tc>
        <w:tc>
          <w:tcPr>
            <w:tcW w:w="1205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1 802</w:t>
            </w:r>
          </w:p>
        </w:tc>
        <w:tc>
          <w:tcPr>
            <w:tcW w:w="1649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1 580</w:t>
            </w:r>
          </w:p>
        </w:tc>
        <w:tc>
          <w:tcPr>
            <w:tcW w:w="1902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400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936</w:t>
            </w:r>
          </w:p>
        </w:tc>
      </w:tr>
      <w:tr w:rsidR="0064298C" w:rsidRPr="0064298C" w:rsidTr="0064298C">
        <w:trPr>
          <w:tblCellSpacing w:w="15" w:type="dxa"/>
        </w:trPr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E16</w:t>
            </w:r>
          </w:p>
        </w:tc>
        <w:tc>
          <w:tcPr>
            <w:tcW w:w="2833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proofErr w:type="spellStart"/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Smedalsosen</w:t>
            </w:r>
            <w:proofErr w:type="spellEnd"/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 xml:space="preserve"> – Maristova – Borlaug</w:t>
            </w:r>
          </w:p>
        </w:tc>
        <w:tc>
          <w:tcPr>
            <w:tcW w:w="1205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1 108</w:t>
            </w:r>
          </w:p>
        </w:tc>
        <w:tc>
          <w:tcPr>
            <w:tcW w:w="1649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819</w:t>
            </w:r>
          </w:p>
        </w:tc>
        <w:tc>
          <w:tcPr>
            <w:tcW w:w="1902" w:type="dxa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27</w:t>
            </w:r>
          </w:p>
        </w:tc>
        <w:tc>
          <w:tcPr>
            <w:tcW w:w="0" w:type="auto"/>
            <w:tcBorders>
              <w:top w:val="single" w:sz="6" w:space="0" w:color="DDEEFF"/>
              <w:left w:val="single" w:sz="6" w:space="0" w:color="DDEEFF"/>
              <w:bottom w:val="single" w:sz="6" w:space="0" w:color="DDEEFF"/>
              <w:right w:val="single" w:sz="6" w:space="0" w:color="DDEEFF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4298C" w:rsidRPr="0064298C" w:rsidRDefault="0064298C" w:rsidP="0064298C">
            <w:pPr>
              <w:spacing w:after="120" w:line="312" w:lineRule="atLeast"/>
              <w:jc w:val="right"/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</w:pPr>
            <w:r w:rsidRPr="0064298C">
              <w:rPr>
                <w:rFonts w:ascii="Verdana" w:eastAsia="Times New Roman" w:hAnsi="Verdana" w:cs="Arial"/>
                <w:sz w:val="16"/>
                <w:szCs w:val="16"/>
                <w:lang w:eastAsia="nb-NO"/>
              </w:rPr>
              <w:t>0</w:t>
            </w:r>
          </w:p>
        </w:tc>
      </w:tr>
    </w:tbl>
    <w:p w:rsidR="0064298C" w:rsidRPr="0064298C" w:rsidRDefault="0064298C" w:rsidP="0064298C">
      <w:pPr>
        <w:shd w:val="clear" w:color="auto" w:fill="FFFFFF"/>
        <w:spacing w:after="120" w:line="360" w:lineRule="atLeast"/>
        <w:rPr>
          <w:rFonts w:ascii="Verdana" w:eastAsia="Times New Roman" w:hAnsi="Verdana" w:cs="Arial"/>
          <w:sz w:val="15"/>
          <w:szCs w:val="15"/>
          <w:lang w:eastAsia="nb-NO"/>
        </w:rPr>
      </w:pPr>
      <w:r w:rsidRPr="0064298C">
        <w:rPr>
          <w:rFonts w:ascii="Verdana" w:eastAsia="Times New Roman" w:hAnsi="Verdana" w:cs="Arial"/>
          <w:sz w:val="15"/>
          <w:szCs w:val="15"/>
          <w:vertAlign w:val="superscript"/>
          <w:lang w:eastAsia="nb-NO"/>
        </w:rPr>
        <w:t>1</w:t>
      </w:r>
      <w:r w:rsidRPr="0064298C">
        <w:rPr>
          <w:rFonts w:ascii="Verdana" w:eastAsia="Times New Roman" w:hAnsi="Verdana" w:cs="Arial"/>
          <w:sz w:val="15"/>
          <w:szCs w:val="15"/>
          <w:lang w:eastAsia="nb-NO"/>
        </w:rPr>
        <w:t xml:space="preserve"> Foreløpig styrings- og kostnadsramme.</w:t>
      </w:r>
    </w:p>
    <w:p w:rsidR="0064298C" w:rsidRPr="0064298C" w:rsidRDefault="0064298C" w:rsidP="0064298C">
      <w:pPr>
        <w:shd w:val="clear" w:color="auto" w:fill="FFFFFF"/>
        <w:spacing w:before="240" w:after="0" w:line="240" w:lineRule="auto"/>
        <w:ind w:right="555"/>
        <w:outlineLvl w:val="2"/>
        <w:rPr>
          <w:rFonts w:ascii="Verdana" w:eastAsia="Times New Roman" w:hAnsi="Verdana" w:cs="Arial"/>
          <w:b/>
          <w:i/>
          <w:iCs/>
          <w:sz w:val="16"/>
          <w:szCs w:val="16"/>
          <w:lang w:eastAsia="nb-NO"/>
        </w:rPr>
      </w:pPr>
      <w:r w:rsidRPr="0064298C">
        <w:rPr>
          <w:rFonts w:ascii="Verdana" w:eastAsia="Times New Roman" w:hAnsi="Verdana" w:cs="Arial"/>
          <w:b/>
          <w:i/>
          <w:iCs/>
          <w:sz w:val="16"/>
          <w:lang w:eastAsia="nb-NO"/>
        </w:rPr>
        <w:lastRenderedPageBreak/>
        <w:t xml:space="preserve">E16 Sandvika – </w:t>
      </w:r>
      <w:proofErr w:type="spellStart"/>
      <w:r w:rsidRPr="0064298C">
        <w:rPr>
          <w:rFonts w:ascii="Verdana" w:eastAsia="Times New Roman" w:hAnsi="Verdana" w:cs="Arial"/>
          <w:b/>
          <w:i/>
          <w:iCs/>
          <w:sz w:val="16"/>
          <w:lang w:eastAsia="nb-NO"/>
        </w:rPr>
        <w:t>Wøyen</w:t>
      </w:r>
      <w:proofErr w:type="spellEnd"/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Prosjektet er bl.a. omtalt i Meld. St. 26 (2012–2013), side 294–295,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Prop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. 1 S (2013–2014), side 110, og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Prop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. 97 S (2013–2014). Prosjektet er forutsatt delvis bompengefinansiert som en del av Oslopakke 3, jf. bl.a. St.meld. nr. 17 (2008–2009). 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Dagens E16 mellom Sandvika og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Wøyen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i Bærum kommune i Akershus er en av landets mest trafikkerte tofelts veger med om lag 35 000 kjøretøy i døgnet. E16 går gjennom Sandvika sentrum og representerer en betydelig barriere og belastning i Sandvika. Prosjektet er en videreføring av den om lag 5 km lange strekningen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Wøyen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–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Bjørum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som ble åpnet som firefelts veg i 2009. 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Strekningen er 3,5 km lang, og er planlagt utbygd som firefelts veg i tunnel (Bjørnegårdtunnelen) under Sandvika fra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Kjørbo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til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Bærumsveien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og videre som firefelts veg i dagen fra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Bærumsveien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til Vøyenenga. Prosjektet omfatter i tillegg en betydelig ombygging av lokalvegsystemet i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Hamangområdet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i Sandvika, der dagens E16 fjernes og deler av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Sandvikaringen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rustes opp. Nord for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Hamang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får dagens E16 funksjon som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lokalveg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og som omkjøringsveg når vedlikehold eller hendelser gjør dette nødvendig. Ny E16 legger til rette for å utvikle Sandvika som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byområde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og reduserer lokale miljøproblemer. Bjørnegårdtunnelen er forberedt for å kunne kobles til en eventuell framtidig E18 i tunnel under Sandvika.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Det er lagt opp til anleggsstart i januar 2015. Prosjektet ventes åpnet for trafikk i 2019. Av foreslåtte midler i 2015 forutsettes 267 mill. kr stilt til disposisjon av bompengeselskapet.</w:t>
      </w:r>
    </w:p>
    <w:p w:rsidR="0064298C" w:rsidRPr="0064298C" w:rsidRDefault="0064298C" w:rsidP="0064298C">
      <w:pPr>
        <w:shd w:val="clear" w:color="auto" w:fill="FFFFFF"/>
        <w:spacing w:before="240" w:after="0" w:line="240" w:lineRule="auto"/>
        <w:ind w:right="555"/>
        <w:outlineLvl w:val="2"/>
        <w:rPr>
          <w:rFonts w:ascii="Verdana" w:eastAsia="Times New Roman" w:hAnsi="Verdana" w:cs="Arial"/>
          <w:b/>
          <w:i/>
          <w:iCs/>
          <w:sz w:val="16"/>
          <w:szCs w:val="16"/>
          <w:lang w:eastAsia="nb-NO"/>
        </w:rPr>
      </w:pPr>
      <w:r w:rsidRPr="0064298C">
        <w:rPr>
          <w:rFonts w:ascii="Verdana" w:eastAsia="Times New Roman" w:hAnsi="Verdana" w:cs="Arial"/>
          <w:b/>
          <w:i/>
          <w:iCs/>
          <w:sz w:val="16"/>
          <w:lang w:eastAsia="nb-NO"/>
        </w:rPr>
        <w:t>E16 Fønhus – Bagn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Prosjektet er bl.a. omtalt i St.meld. nr. 16 (2008–2009), side 237, og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Prop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. 1 S (2013–2014), side 111. Prosjektet er vedtatt delvis bompengefinansiert, jf.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Prop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. 101 S (2011–2012).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Prosjektet omfatter utbedring og dels omlegging av en om lag 10 km lang strekning i Sør-Aurdal kommune i Oppland, inkludert skredsikring ved Bergsund. Vegen bygges med 8,5 meter vegbredde.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Anleggsarbeidene startet i september 2012, og prosjektet åpnes for trafikk i desember 2014. Av foreslåtte midler i 2015 forutsettes 2 mill. kr stilt til disposisjon av bompengeselskapet.</w:t>
      </w:r>
    </w:p>
    <w:p w:rsidR="0064298C" w:rsidRPr="0064298C" w:rsidRDefault="0064298C" w:rsidP="0064298C">
      <w:pPr>
        <w:shd w:val="clear" w:color="auto" w:fill="FFFFFF"/>
        <w:spacing w:before="240" w:after="0" w:line="240" w:lineRule="auto"/>
        <w:ind w:right="555"/>
        <w:outlineLvl w:val="2"/>
        <w:rPr>
          <w:rFonts w:ascii="Verdana" w:eastAsia="Times New Roman" w:hAnsi="Verdana" w:cs="Arial"/>
          <w:b/>
          <w:i/>
          <w:iCs/>
          <w:sz w:val="16"/>
          <w:szCs w:val="16"/>
          <w:lang w:eastAsia="nb-NO"/>
        </w:rPr>
      </w:pPr>
      <w:r w:rsidRPr="0064298C">
        <w:rPr>
          <w:rFonts w:ascii="Verdana" w:eastAsia="Times New Roman" w:hAnsi="Verdana" w:cs="Arial"/>
          <w:b/>
          <w:i/>
          <w:iCs/>
          <w:sz w:val="16"/>
          <w:lang w:eastAsia="nb-NO"/>
        </w:rPr>
        <w:t>E16 Bagn – Bjørgo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val="en-US"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Prosjektet er bl.a. omtalt i Meld. </w:t>
      </w:r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St. 26 (2012–2013), side 295, Prop. 101 S (2011–2012), </w:t>
      </w:r>
      <w:proofErr w:type="gram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og</w:t>
      </w:r>
      <w:proofErr w:type="gram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Prop. </w:t>
      </w:r>
      <w:proofErr w:type="gram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93 S (2013 – 2014), side 74.</w:t>
      </w:r>
      <w:proofErr w:type="gramEnd"/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val="en-US"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Det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er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lokalpolitisk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tilslutning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til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gram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et</w:t>
      </w:r>
      <w:proofErr w:type="gram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opplegg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for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delvis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bompengefinansiering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av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den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videre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utbyggingen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av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E16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på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strekningen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Bagn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–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Bjørgo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i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Sør-Aurdal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og Nord-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Aurdal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kommuner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i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Oppland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. Det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foreligger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godkjent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reguleringsplan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for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strekningen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, </w:t>
      </w:r>
      <w:proofErr w:type="gram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og</w:t>
      </w:r>
      <w:proofErr w:type="gram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arbeidet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med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ekstern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kvalitetssikring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(KS2)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er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i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startfasen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.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Regjeringen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tar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sikte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på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at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forslag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proofErr w:type="gram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om</w:t>
      </w:r>
      <w:proofErr w:type="spellEnd"/>
      <w:proofErr w:type="gram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delvis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bompengefinansiering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av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prosjektet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blir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lagt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fram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for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Stortinget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i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løpet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av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2015.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Prioriteringen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er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betinget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av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Stortingets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tilslutning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til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gram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et</w:t>
      </w:r>
      <w:proofErr w:type="gram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opplegg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for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delvis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bompengefinansiering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av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prosjektet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.</w:t>
      </w:r>
    </w:p>
    <w:p w:rsidR="0064298C" w:rsidRPr="0064298C" w:rsidRDefault="0064298C" w:rsidP="0064298C">
      <w:pPr>
        <w:shd w:val="clear" w:color="auto" w:fill="FFFFFF"/>
        <w:spacing w:before="240" w:after="0" w:line="240" w:lineRule="auto"/>
        <w:ind w:right="555"/>
        <w:outlineLvl w:val="2"/>
        <w:rPr>
          <w:rFonts w:ascii="Verdana" w:eastAsia="Times New Roman" w:hAnsi="Verdana" w:cs="Arial"/>
          <w:b/>
          <w:i/>
          <w:iCs/>
          <w:sz w:val="16"/>
          <w:szCs w:val="16"/>
          <w:lang w:val="en-US" w:eastAsia="nb-NO"/>
        </w:rPr>
      </w:pPr>
      <w:r w:rsidRPr="0064298C">
        <w:rPr>
          <w:rFonts w:ascii="Verdana" w:eastAsia="Times New Roman" w:hAnsi="Verdana" w:cs="Arial"/>
          <w:b/>
          <w:i/>
          <w:iCs/>
          <w:sz w:val="16"/>
          <w:lang w:val="en-US" w:eastAsia="nb-NO"/>
        </w:rPr>
        <w:t xml:space="preserve">E16 </w:t>
      </w:r>
      <w:proofErr w:type="spellStart"/>
      <w:r w:rsidRPr="0064298C">
        <w:rPr>
          <w:rFonts w:ascii="Verdana" w:eastAsia="Times New Roman" w:hAnsi="Verdana" w:cs="Arial"/>
          <w:b/>
          <w:i/>
          <w:iCs/>
          <w:sz w:val="16"/>
          <w:lang w:val="en-US" w:eastAsia="nb-NO"/>
        </w:rPr>
        <w:t>Varpe</w:t>
      </w:r>
      <w:proofErr w:type="spellEnd"/>
      <w:r w:rsidRPr="0064298C">
        <w:rPr>
          <w:rFonts w:ascii="Verdana" w:eastAsia="Times New Roman" w:hAnsi="Verdana" w:cs="Arial"/>
          <w:b/>
          <w:i/>
          <w:iCs/>
          <w:sz w:val="16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b/>
          <w:i/>
          <w:iCs/>
          <w:sz w:val="16"/>
          <w:lang w:val="en-US" w:eastAsia="nb-NO"/>
        </w:rPr>
        <w:t>bru</w:t>
      </w:r>
      <w:proofErr w:type="spellEnd"/>
      <w:r w:rsidRPr="0064298C">
        <w:rPr>
          <w:rFonts w:ascii="Verdana" w:eastAsia="Times New Roman" w:hAnsi="Verdana" w:cs="Arial"/>
          <w:b/>
          <w:i/>
          <w:iCs/>
          <w:sz w:val="16"/>
          <w:lang w:val="en-US" w:eastAsia="nb-NO"/>
        </w:rPr>
        <w:t xml:space="preserve"> – </w:t>
      </w:r>
      <w:proofErr w:type="spellStart"/>
      <w:r w:rsidRPr="0064298C">
        <w:rPr>
          <w:rFonts w:ascii="Verdana" w:eastAsia="Times New Roman" w:hAnsi="Verdana" w:cs="Arial"/>
          <w:b/>
          <w:i/>
          <w:iCs/>
          <w:sz w:val="16"/>
          <w:lang w:val="en-US" w:eastAsia="nb-NO"/>
        </w:rPr>
        <w:t>Otrøosen</w:t>
      </w:r>
      <w:proofErr w:type="spellEnd"/>
      <w:r w:rsidRPr="0064298C">
        <w:rPr>
          <w:rFonts w:ascii="Verdana" w:eastAsia="Times New Roman" w:hAnsi="Verdana" w:cs="Arial"/>
          <w:b/>
          <w:i/>
          <w:iCs/>
          <w:sz w:val="16"/>
          <w:lang w:val="en-US" w:eastAsia="nb-NO"/>
        </w:rPr>
        <w:t xml:space="preserve"> – </w:t>
      </w:r>
      <w:proofErr w:type="spellStart"/>
      <w:r w:rsidRPr="0064298C">
        <w:rPr>
          <w:rFonts w:ascii="Verdana" w:eastAsia="Times New Roman" w:hAnsi="Verdana" w:cs="Arial"/>
          <w:b/>
          <w:i/>
          <w:iCs/>
          <w:sz w:val="16"/>
          <w:lang w:val="en-US" w:eastAsia="nb-NO"/>
        </w:rPr>
        <w:t>Smedalsosen</w:t>
      </w:r>
      <w:proofErr w:type="spellEnd"/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proofErr w:type="spellStart"/>
      <w:proofErr w:type="gram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Prosjektet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er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bl.a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.</w:t>
      </w:r>
      <w:proofErr w:type="gram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proofErr w:type="gram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omtalt</w:t>
      </w:r>
      <w:proofErr w:type="spellEnd"/>
      <w:proofErr w:type="gram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>i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en-US" w:eastAsia="nb-NO"/>
        </w:rPr>
        <w:t xml:space="preserve"> Meld. </w:t>
      </w: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St. 26 (2012–2013), side 295–296,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Prop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. 156 S (2012–2013),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Prop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. 1 S (2013–2014), side 111, og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Prop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. 1 S Tillegg 1 (2013–2014). Prosjektet er en del av den samlede utbyggingen av E16 over Filefjell.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Prosjektet ligger i Vang kommune i Oppland og Lærdal kommune i Sogn og Fjordane. Strekningen har dårlig regularitet vinterstid med kolonnekjøring og stengninger. </w:t>
      </w:r>
      <w:r w:rsidRPr="0064298C">
        <w:rPr>
          <w:rFonts w:ascii="Verdana" w:eastAsia="Times New Roman" w:hAnsi="Verdana" w:cs="Arial"/>
          <w:sz w:val="17"/>
          <w:szCs w:val="17"/>
          <w:lang w:val="nn-NO" w:eastAsia="nb-NO"/>
        </w:rPr>
        <w:t xml:space="preserve">Prosjektet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nn-NO" w:eastAsia="nb-NO"/>
        </w:rPr>
        <w:t>omfatter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nn-NO" w:eastAsia="nb-NO"/>
        </w:rPr>
        <w:t xml:space="preserve"> bygging av om lag 20 km veg med om lag 6 km i tunnel. </w:t>
      </w: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Veg i dagen følger stort sett eksisterende trasé, og legges høyt i </w:t>
      </w:r>
      <w:r w:rsidRPr="0064298C">
        <w:rPr>
          <w:rFonts w:ascii="Verdana" w:eastAsia="Times New Roman" w:hAnsi="Verdana" w:cs="Arial"/>
          <w:sz w:val="17"/>
          <w:szCs w:val="17"/>
          <w:lang w:eastAsia="nb-NO"/>
        </w:rPr>
        <w:lastRenderedPageBreak/>
        <w:t>terrenget med slake skråninger for å redusere problemene med snødrev. Vegen bygges med 8,5 meter vegbredde.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Anleggsarbeidene startet i mai 2014, og prosjektet ventes åpnet for trafikk i 2017.</w:t>
      </w:r>
    </w:p>
    <w:p w:rsidR="0064298C" w:rsidRPr="0064298C" w:rsidRDefault="0064298C" w:rsidP="0064298C">
      <w:pPr>
        <w:shd w:val="clear" w:color="auto" w:fill="FFFFFF"/>
        <w:spacing w:before="240" w:after="0" w:line="240" w:lineRule="auto"/>
        <w:ind w:right="555"/>
        <w:outlineLvl w:val="2"/>
        <w:rPr>
          <w:rFonts w:ascii="Verdana" w:eastAsia="Times New Roman" w:hAnsi="Verdana" w:cs="Arial"/>
          <w:b/>
          <w:i/>
          <w:iCs/>
          <w:sz w:val="16"/>
          <w:szCs w:val="16"/>
          <w:lang w:val="nn-NO" w:eastAsia="nb-NO"/>
        </w:rPr>
      </w:pPr>
      <w:r w:rsidRPr="0064298C">
        <w:rPr>
          <w:rFonts w:ascii="Verdana" w:eastAsia="Times New Roman" w:hAnsi="Verdana" w:cs="Arial"/>
          <w:b/>
          <w:i/>
          <w:iCs/>
          <w:sz w:val="16"/>
          <w:lang w:val="nn-NO" w:eastAsia="nb-NO"/>
        </w:rPr>
        <w:t xml:space="preserve">E16 </w:t>
      </w:r>
      <w:proofErr w:type="spellStart"/>
      <w:r w:rsidRPr="0064298C">
        <w:rPr>
          <w:rFonts w:ascii="Verdana" w:eastAsia="Times New Roman" w:hAnsi="Verdana" w:cs="Arial"/>
          <w:b/>
          <w:i/>
          <w:iCs/>
          <w:sz w:val="16"/>
          <w:lang w:val="nn-NO" w:eastAsia="nb-NO"/>
        </w:rPr>
        <w:t>Smedalsosen</w:t>
      </w:r>
      <w:proofErr w:type="spellEnd"/>
      <w:r w:rsidRPr="0064298C">
        <w:rPr>
          <w:rFonts w:ascii="Verdana" w:eastAsia="Times New Roman" w:hAnsi="Verdana" w:cs="Arial"/>
          <w:b/>
          <w:i/>
          <w:iCs/>
          <w:sz w:val="16"/>
          <w:lang w:val="nn-NO" w:eastAsia="nb-NO"/>
        </w:rPr>
        <w:t xml:space="preserve"> – Maristova – Borlaug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val="nn-NO" w:eastAsia="nb-NO"/>
        </w:rPr>
        <w:t xml:space="preserve">Prosjektet er bl.a. omtalt i St.meld. nr. 16 (2008–2009), side 237–238, og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val="nn-NO" w:eastAsia="nb-NO"/>
        </w:rPr>
        <w:t>Prop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val="nn-NO" w:eastAsia="nb-NO"/>
        </w:rPr>
        <w:t xml:space="preserve">. 1 S (2013–2014), side 111. </w:t>
      </w: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Prosjektet er en del av den samlede utbyggingen av E16 over Filefjell.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Prosjektet ligger i Lærdal kommune i Sogn og Fjordane og omfatter omlegging av en om lag 11 km lang strekning. Vegen bygges med 8,5 meter vegbredde.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Anleggsarbeidene startet i februar 2011. Hoveddelen av prosjektet ble åpnet for trafikk i juli 2014, mens den resterende delen på om lag 2 km ble åpnet for trafikk i august 2014.</w:t>
      </w:r>
    </w:p>
    <w:p w:rsidR="0064298C" w:rsidRPr="0064298C" w:rsidRDefault="0064298C" w:rsidP="0064298C">
      <w:pPr>
        <w:shd w:val="clear" w:color="auto" w:fill="FFFFFF"/>
        <w:spacing w:before="240" w:after="0" w:line="240" w:lineRule="auto"/>
        <w:ind w:right="555"/>
        <w:outlineLvl w:val="2"/>
        <w:rPr>
          <w:rFonts w:ascii="Verdana" w:eastAsia="Times New Roman" w:hAnsi="Verdana" w:cs="Arial"/>
          <w:b/>
          <w:i/>
          <w:iCs/>
          <w:sz w:val="16"/>
          <w:szCs w:val="16"/>
          <w:lang w:eastAsia="nb-NO"/>
        </w:rPr>
      </w:pPr>
      <w:r w:rsidRPr="0064298C">
        <w:rPr>
          <w:rFonts w:ascii="Verdana" w:eastAsia="Times New Roman" w:hAnsi="Verdana" w:cs="Arial"/>
          <w:b/>
          <w:i/>
          <w:iCs/>
          <w:sz w:val="16"/>
          <w:lang w:eastAsia="nb-NO"/>
        </w:rPr>
        <w:t xml:space="preserve">E16 Øye – </w:t>
      </w:r>
      <w:proofErr w:type="spellStart"/>
      <w:r w:rsidRPr="0064298C">
        <w:rPr>
          <w:rFonts w:ascii="Verdana" w:eastAsia="Times New Roman" w:hAnsi="Verdana" w:cs="Arial"/>
          <w:b/>
          <w:i/>
          <w:iCs/>
          <w:sz w:val="16"/>
          <w:lang w:eastAsia="nb-NO"/>
        </w:rPr>
        <w:t>Eidsbru</w:t>
      </w:r>
      <w:proofErr w:type="spellEnd"/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Prosjektet er bl.a. omtalt i Meld. St. 26 (2012–2013), side 293–294 og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Prop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. 1 S (2013–2014), side 60. Prosjektet er siste etappe av den samlede utbyggingen av E16 over Filefjell.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Dagens veg går gjennom Øye sentrum med randbebyggelse, og nær en skole. Fartsgrensen er 60 km/t på det meste av strekningen. I Øye sentrum er det fartshumper med fartsgrense 40 km/t. Vegen har dårlig standard med om lag 6 meter vegbredde og bl.a. to krappe svinger i stigningen opp mot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Strondafjorden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.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Årsdøgntrafikken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 varierer fra om lag 1 100 til 1 400 kjøretøy med om lag 17 pst. tungtrafikk. Prosjektet vil gi bedre framkommelighet, trafikksikkerhet og miljø.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Prosjektet omfatter om lag 4 km veg i ny trasé utenom Øye sentrum i Vang kommune i Oppland. Om lag 2 km av vegen legges i tunnel. Vegen bygges med 8,5 meter vegbredde.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 xml:space="preserve">Med grunnlag i anslag for prosjektet E16 Øye – </w:t>
      </w:r>
      <w:proofErr w:type="spellStart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Eidsbru</w:t>
      </w:r>
      <w:proofErr w:type="spellEnd"/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, legger Samferdselsdepartementet til grunn en styringsramme på 655 mill. 2014-kr og en kostnadsramme på 720 mill. 2014-kr. Prisomregnet til 2015-kr er styringsrammen 674 mill. kr og kostnadsrammen 741 mill. kr.</w:t>
      </w:r>
    </w:p>
    <w:p w:rsidR="0064298C" w:rsidRPr="0064298C" w:rsidRDefault="0064298C" w:rsidP="0064298C">
      <w:pPr>
        <w:shd w:val="clear" w:color="auto" w:fill="FFFFFF"/>
        <w:spacing w:after="120" w:line="312" w:lineRule="atLeast"/>
        <w:rPr>
          <w:rFonts w:ascii="Verdana" w:eastAsia="Times New Roman" w:hAnsi="Verdana" w:cs="Arial"/>
          <w:sz w:val="17"/>
          <w:szCs w:val="17"/>
          <w:lang w:eastAsia="nb-NO"/>
        </w:rPr>
      </w:pPr>
      <w:r w:rsidRPr="0064298C">
        <w:rPr>
          <w:rFonts w:ascii="Verdana" w:eastAsia="Times New Roman" w:hAnsi="Verdana" w:cs="Arial"/>
          <w:sz w:val="17"/>
          <w:szCs w:val="17"/>
          <w:lang w:eastAsia="nb-NO"/>
        </w:rPr>
        <w:t>Det legges opp til anleggsstart i august 2015, og prosjektet ventes åpnet for trafikk i 2017.</w:t>
      </w:r>
    </w:p>
    <w:p w:rsidR="0064298C" w:rsidRDefault="0064298C"/>
    <w:sectPr w:rsidR="0064298C" w:rsidSect="00A96553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98C"/>
    <w:rsid w:val="0064298C"/>
    <w:rsid w:val="00A9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k-text">
    <w:name w:val="k-text"/>
    <w:basedOn w:val="Standardskriftforavsnitt"/>
    <w:rsid w:val="0064298C"/>
  </w:style>
  <w:style w:type="paragraph" w:customStyle="1" w:styleId="k-a7">
    <w:name w:val="k-a7"/>
    <w:basedOn w:val="Normal"/>
    <w:rsid w:val="0064298C"/>
    <w:pPr>
      <w:spacing w:after="120" w:line="312" w:lineRule="atLeas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right5">
    <w:name w:val="right5"/>
    <w:basedOn w:val="Normal"/>
    <w:rsid w:val="0064298C"/>
    <w:pPr>
      <w:spacing w:after="120" w:line="312" w:lineRule="atLeast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eft3">
    <w:name w:val="left3"/>
    <w:basedOn w:val="Normal"/>
    <w:rsid w:val="0064298C"/>
    <w:pPr>
      <w:spacing w:after="120" w:line="312" w:lineRule="atLeas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right6">
    <w:name w:val="right6"/>
    <w:basedOn w:val="Normal"/>
    <w:rsid w:val="0064298C"/>
    <w:pPr>
      <w:spacing w:after="120" w:line="312" w:lineRule="atLeast"/>
      <w:jc w:val="righ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k-a8">
    <w:name w:val="k-a8"/>
    <w:basedOn w:val="Normal"/>
    <w:rsid w:val="0064298C"/>
    <w:pPr>
      <w:spacing w:after="0" w:line="360" w:lineRule="atLeast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76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6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3604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18736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05293"/>
                    <w:bottom w:val="none" w:sz="0" w:space="0" w:color="auto"/>
                    <w:right w:val="none" w:sz="0" w:space="0" w:color="E2E4E5"/>
                  </w:divBdr>
                  <w:divsChild>
                    <w:div w:id="13128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23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9C2"/>
                                    <w:right w:val="none" w:sz="0" w:space="0" w:color="auto"/>
                                  </w:divBdr>
                                  <w:divsChild>
                                    <w:div w:id="103751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0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1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10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2619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1223</Words>
  <Characters>6484</Characters>
  <Application>Microsoft Office Word</Application>
  <DocSecurity>0</DocSecurity>
  <Lines>54</Lines>
  <Paragraphs>15</Paragraphs>
  <ScaleCrop>false</ScaleCrop>
  <Company>Valdres Natur- og Kulturpark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Rogn</dc:creator>
  <cp:lastModifiedBy>Nils Rogn</cp:lastModifiedBy>
  <cp:revision>2</cp:revision>
  <dcterms:created xsi:type="dcterms:W3CDTF">2014-10-08T10:18:00Z</dcterms:created>
  <dcterms:modified xsi:type="dcterms:W3CDTF">2014-10-08T11:19:00Z</dcterms:modified>
</cp:coreProperties>
</file>